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DA90C" w14:textId="568BEBF8" w:rsidR="00E047F3" w:rsidRPr="002A7AC8" w:rsidRDefault="0024089A" w:rsidP="002A7AC8">
      <w:pPr>
        <w:jc w:val="center"/>
        <w:rPr>
          <w:b/>
          <w:u w:val="single"/>
        </w:rPr>
      </w:pPr>
      <w:r w:rsidRPr="002A7AC8">
        <w:rPr>
          <w:b/>
          <w:u w:val="single"/>
        </w:rPr>
        <w:t>TEC Guidance</w:t>
      </w:r>
    </w:p>
    <w:p w14:paraId="6B4B0773" w14:textId="77777777" w:rsidR="0024089A" w:rsidRPr="002A7AC8" w:rsidRDefault="0024089A" w:rsidP="002A7AC8">
      <w:pPr>
        <w:jc w:val="center"/>
        <w:rPr>
          <w:b/>
          <w:u w:val="single"/>
        </w:rPr>
      </w:pPr>
      <w:r w:rsidRPr="002A7AC8">
        <w:rPr>
          <w:b/>
          <w:u w:val="single"/>
        </w:rPr>
        <w:t>Debt Respite Scheme</w:t>
      </w:r>
    </w:p>
    <w:p w14:paraId="3869BBAB" w14:textId="77777777" w:rsidR="0024089A" w:rsidRDefault="0024089A"/>
    <w:p w14:paraId="4B515062" w14:textId="77777777" w:rsidR="0024089A" w:rsidRDefault="0024089A">
      <w:pPr>
        <w:rPr>
          <w:b/>
        </w:rPr>
      </w:pPr>
      <w:r w:rsidRPr="002A7AC8">
        <w:rPr>
          <w:b/>
        </w:rPr>
        <w:t>Annex A</w:t>
      </w:r>
    </w:p>
    <w:p w14:paraId="0985A176" w14:textId="77777777" w:rsidR="00D226A7" w:rsidRDefault="00D226A7">
      <w:pPr>
        <w:rPr>
          <w:b/>
        </w:rPr>
      </w:pPr>
      <w:r>
        <w:rPr>
          <w:b/>
        </w:rPr>
        <w:t>Guidance</w:t>
      </w:r>
    </w:p>
    <w:p w14:paraId="668FE7E2" w14:textId="77777777" w:rsidR="0046376D" w:rsidRPr="00B858A7" w:rsidRDefault="0046376D">
      <w:pPr>
        <w:rPr>
          <w:u w:val="single"/>
        </w:rPr>
      </w:pPr>
      <w:r w:rsidRPr="00B858A7">
        <w:rPr>
          <w:u w:val="single"/>
        </w:rPr>
        <w:t>Introduction</w:t>
      </w:r>
    </w:p>
    <w:p w14:paraId="39BFB5E6" w14:textId="77777777" w:rsidR="00853B83" w:rsidRDefault="0046376D" w:rsidP="00434CB7">
      <w:pPr>
        <w:pStyle w:val="ListParagraph"/>
        <w:numPr>
          <w:ilvl w:val="1"/>
          <w:numId w:val="1"/>
        </w:numPr>
      </w:pPr>
      <w:r w:rsidRPr="0046376D">
        <w:t>Debt Respite Scheme (Breathing Space) guidance for creditors</w:t>
      </w:r>
      <w:r>
        <w:t xml:space="preserve"> can</w:t>
      </w:r>
      <w:r w:rsidR="009679D9">
        <w:t xml:space="preserve"> be found </w:t>
      </w:r>
      <w:hyperlink r:id="rId11" w:history="1">
        <w:r w:rsidR="00853B83" w:rsidRPr="00082D03">
          <w:rPr>
            <w:rStyle w:val="Hyperlink"/>
          </w:rPr>
          <w:t>h</w:t>
        </w:r>
        <w:r w:rsidR="00853B83">
          <w:rPr>
            <w:rStyle w:val="Hyperlink"/>
          </w:rPr>
          <w:t>ere</w:t>
        </w:r>
        <w:r w:rsidR="00BB4B2F">
          <w:rPr>
            <w:rStyle w:val="Hyperlink"/>
          </w:rPr>
          <w:t>.</w:t>
        </w:r>
        <w:r w:rsidR="00853B83">
          <w:rPr>
            <w:rStyle w:val="Hyperlink"/>
          </w:rPr>
          <w:t xml:space="preserve"> </w:t>
        </w:r>
      </w:hyperlink>
    </w:p>
    <w:p w14:paraId="0AB20882" w14:textId="77777777" w:rsidR="00BB4B2F" w:rsidRDefault="00BB4B2F" w:rsidP="00BB4B2F">
      <w:pPr>
        <w:pStyle w:val="ListParagraph"/>
      </w:pPr>
    </w:p>
    <w:p w14:paraId="6AFD0F6F" w14:textId="5F69F066" w:rsidR="0024089A" w:rsidRDefault="00434CB7" w:rsidP="00434CB7">
      <w:pPr>
        <w:pStyle w:val="ListParagraph"/>
        <w:numPr>
          <w:ilvl w:val="1"/>
          <w:numId w:val="1"/>
        </w:numPr>
      </w:pPr>
      <w:r>
        <w:t xml:space="preserve">This guidance is intended to support </w:t>
      </w:r>
      <w:r w:rsidR="00853B83">
        <w:t xml:space="preserve">users of the Traffic Enforcement Centre in </w:t>
      </w:r>
      <w:r>
        <w:t xml:space="preserve">understanding the </w:t>
      </w:r>
      <w:r w:rsidR="00667DFC">
        <w:t>Debt Respite R</w:t>
      </w:r>
      <w:r>
        <w:t>egulations.</w:t>
      </w:r>
    </w:p>
    <w:p w14:paraId="0945F59C" w14:textId="77777777" w:rsidR="00FE4609" w:rsidRDefault="00FE4609" w:rsidP="001402C2">
      <w:pPr>
        <w:pStyle w:val="ListParagraph"/>
      </w:pPr>
    </w:p>
    <w:p w14:paraId="5BEC24E2" w14:textId="77777777" w:rsidR="00FE4609" w:rsidRDefault="00FE4609" w:rsidP="00434CB7">
      <w:pPr>
        <w:pStyle w:val="ListParagraph"/>
        <w:numPr>
          <w:ilvl w:val="1"/>
          <w:numId w:val="1"/>
        </w:numPr>
      </w:pPr>
      <w:r>
        <w:t>All references to the Debt Respite Regulations mean the</w:t>
      </w:r>
      <w:r w:rsidRPr="00FE4609">
        <w:t xml:space="preserve"> Debt Respite Scheme (Breathing Space Moratorium and Mental Health Crisis Moratorium) (England and Wales) Regulations 2020</w:t>
      </w:r>
      <w:r w:rsidR="00B43629">
        <w:t xml:space="preserve"> (SI1311/2020)</w:t>
      </w:r>
      <w:r w:rsidR="001402C2">
        <w:t>.</w:t>
      </w:r>
    </w:p>
    <w:p w14:paraId="0D4FC952" w14:textId="77777777" w:rsidR="00CF4298" w:rsidRPr="00CF4298" w:rsidRDefault="00CF4298" w:rsidP="0040604D">
      <w:pPr>
        <w:rPr>
          <w:u w:val="single"/>
        </w:rPr>
      </w:pPr>
      <w:r w:rsidRPr="00CF4298">
        <w:rPr>
          <w:u w:val="single"/>
        </w:rPr>
        <w:t xml:space="preserve">Breathing Space Protections </w:t>
      </w:r>
      <w:r w:rsidR="0046376D">
        <w:rPr>
          <w:u w:val="single"/>
        </w:rPr>
        <w:t>Notification</w:t>
      </w:r>
    </w:p>
    <w:p w14:paraId="48EB12C0" w14:textId="77777777" w:rsidR="00CF4298" w:rsidRDefault="0046376D" w:rsidP="00CF4298">
      <w:r>
        <w:t>2</w:t>
      </w:r>
      <w:r w:rsidR="00CF4298">
        <w:t>.1 You can receive notifications by:</w:t>
      </w:r>
    </w:p>
    <w:p w14:paraId="7D3B1FEB" w14:textId="55B93FDB" w:rsidR="00CF4298" w:rsidRDefault="00CF4298" w:rsidP="00CF4298">
      <w:pPr>
        <w:pStyle w:val="ListParagraph"/>
        <w:numPr>
          <w:ilvl w:val="0"/>
          <w:numId w:val="6"/>
        </w:numPr>
      </w:pPr>
      <w:r>
        <w:t xml:space="preserve">electronic communication (either a notification directly from the electronic service or an email). </w:t>
      </w:r>
      <w:r w:rsidR="00D91127">
        <w:t>E</w:t>
      </w:r>
      <w:r>
        <w:t xml:space="preserve">lectronic communications </w:t>
      </w:r>
      <w:r w:rsidR="00D91127">
        <w:t xml:space="preserve">can only be sent </w:t>
      </w:r>
      <w:r>
        <w:t>if you opted in through the electronic service</w:t>
      </w:r>
      <w:r w:rsidR="00D91127">
        <w:t xml:space="preserve">.  Please email </w:t>
      </w:r>
      <w:hyperlink r:id="rId12" w:history="1">
        <w:r w:rsidR="00D91127" w:rsidRPr="00082D03">
          <w:rPr>
            <w:rStyle w:val="Hyperlink"/>
          </w:rPr>
          <w:t>breathingspace@insolvencyservice.gov.uk</w:t>
        </w:r>
      </w:hyperlink>
      <w:r w:rsidR="00D91127">
        <w:t xml:space="preserve"> if you have any queries about this service;</w:t>
      </w:r>
    </w:p>
    <w:p w14:paraId="60448835" w14:textId="77777777" w:rsidR="00CF4298" w:rsidRDefault="00CF4298" w:rsidP="00CF4298">
      <w:pPr>
        <w:pStyle w:val="ListParagraph"/>
        <w:numPr>
          <w:ilvl w:val="0"/>
          <w:numId w:val="6"/>
        </w:numPr>
      </w:pPr>
      <w:r>
        <w:t>post</w:t>
      </w:r>
      <w:r w:rsidR="00D91127">
        <w:t>;</w:t>
      </w:r>
    </w:p>
    <w:p w14:paraId="402A539D" w14:textId="77777777" w:rsidR="00CF4298" w:rsidRDefault="00CF4298" w:rsidP="00CF4298">
      <w:pPr>
        <w:pStyle w:val="ListParagraph"/>
        <w:numPr>
          <w:ilvl w:val="0"/>
          <w:numId w:val="6"/>
        </w:numPr>
      </w:pPr>
      <w:r>
        <w:t>someone leaving a copy of the notification at your address</w:t>
      </w:r>
      <w:r w:rsidR="00D91127">
        <w:t>.</w:t>
      </w:r>
    </w:p>
    <w:p w14:paraId="32D67944" w14:textId="77777777" w:rsidR="00CF4298" w:rsidRDefault="00CF4298" w:rsidP="00CF4298">
      <w:pPr>
        <w:pStyle w:val="ListParagraph"/>
      </w:pPr>
    </w:p>
    <w:p w14:paraId="68F6E743" w14:textId="7E386CF7" w:rsidR="00CF4298" w:rsidRDefault="0046376D" w:rsidP="00CF4298">
      <w:r>
        <w:t>2</w:t>
      </w:r>
      <w:r w:rsidR="00CF4298">
        <w:t>.2 The regulations consider that you’ve received:</w:t>
      </w:r>
    </w:p>
    <w:p w14:paraId="6312F311" w14:textId="77777777" w:rsidR="00CF4298" w:rsidRDefault="00CF4298" w:rsidP="00CF4298">
      <w:pPr>
        <w:pStyle w:val="ListParagraph"/>
        <w:numPr>
          <w:ilvl w:val="0"/>
          <w:numId w:val="7"/>
        </w:numPr>
      </w:pPr>
      <w:r>
        <w:t>an electronic notification on the day it was sent</w:t>
      </w:r>
      <w:r w:rsidR="00D91127">
        <w:t>;</w:t>
      </w:r>
    </w:p>
    <w:p w14:paraId="6903CB6F" w14:textId="77777777" w:rsidR="00CF4298" w:rsidRDefault="00CF4298" w:rsidP="00CF4298">
      <w:pPr>
        <w:pStyle w:val="ListParagraph"/>
        <w:numPr>
          <w:ilvl w:val="0"/>
          <w:numId w:val="7"/>
        </w:numPr>
      </w:pPr>
      <w:r>
        <w:t>a postal notification 4 business days after the notification was posted</w:t>
      </w:r>
      <w:r w:rsidR="00D91127">
        <w:t>;</w:t>
      </w:r>
    </w:p>
    <w:p w14:paraId="51A04F9E" w14:textId="04A4FCC6" w:rsidR="00CF4298" w:rsidRDefault="00CF4298" w:rsidP="00CF4298">
      <w:pPr>
        <w:pStyle w:val="ListParagraph"/>
        <w:numPr>
          <w:ilvl w:val="0"/>
          <w:numId w:val="7"/>
        </w:numPr>
      </w:pPr>
      <w:r>
        <w:t>a notification left at your address on the day it was left</w:t>
      </w:r>
      <w:r w:rsidR="003506DB">
        <w:rPr>
          <w:rStyle w:val="FootnoteReference"/>
        </w:rPr>
        <w:footnoteReference w:id="1"/>
      </w:r>
      <w:r w:rsidR="003506DB">
        <w:rPr>
          <w:rStyle w:val="FootnoteReference"/>
        </w:rPr>
        <w:footnoteReference w:id="2"/>
      </w:r>
      <w:r w:rsidR="00D91127">
        <w:t>.</w:t>
      </w:r>
    </w:p>
    <w:p w14:paraId="0E1B48A1" w14:textId="77777777" w:rsidR="00D91127" w:rsidRDefault="00D91127" w:rsidP="003814E0">
      <w:pPr>
        <w:pStyle w:val="ListParagraph"/>
      </w:pPr>
    </w:p>
    <w:p w14:paraId="47BDEF00" w14:textId="77777777" w:rsidR="00CF4298" w:rsidRPr="00D91127" w:rsidRDefault="00D91127" w:rsidP="00CF4298">
      <w:pPr>
        <w:rPr>
          <w:u w:val="single"/>
        </w:rPr>
      </w:pPr>
      <w:r>
        <w:rPr>
          <w:u w:val="single"/>
        </w:rPr>
        <w:t xml:space="preserve">Protections </w:t>
      </w:r>
      <w:r w:rsidRPr="00D91127">
        <w:rPr>
          <w:u w:val="single"/>
        </w:rPr>
        <w:t xml:space="preserve">under a </w:t>
      </w:r>
      <w:r>
        <w:rPr>
          <w:u w:val="single"/>
        </w:rPr>
        <w:t>B</w:t>
      </w:r>
      <w:r w:rsidRPr="00D91127">
        <w:rPr>
          <w:u w:val="single"/>
        </w:rPr>
        <w:t xml:space="preserve">reathing </w:t>
      </w:r>
      <w:r>
        <w:rPr>
          <w:u w:val="single"/>
        </w:rPr>
        <w:t>S</w:t>
      </w:r>
      <w:r w:rsidRPr="00D91127">
        <w:rPr>
          <w:u w:val="single"/>
        </w:rPr>
        <w:t>pace</w:t>
      </w:r>
    </w:p>
    <w:p w14:paraId="37B82DB9" w14:textId="70F2755D" w:rsidR="00CF4298" w:rsidRDefault="0046376D" w:rsidP="0046376D">
      <w:r>
        <w:t xml:space="preserve">3.1 </w:t>
      </w:r>
      <w:r w:rsidR="00CF4298" w:rsidRPr="00CF4298">
        <w:t xml:space="preserve">Once a breathing space has started, you or anybody acting on your behalf </w:t>
      </w:r>
      <w:r w:rsidR="00CF4298" w:rsidRPr="001627F5">
        <w:rPr>
          <w:b/>
          <w:bCs/>
        </w:rPr>
        <w:t>must not</w:t>
      </w:r>
      <w:r w:rsidR="00CF4298" w:rsidRPr="00CF4298">
        <w:t xml:space="preserve"> take any enforcement actions against the debtor</w:t>
      </w:r>
      <w:r w:rsidR="001C3549">
        <w:t xml:space="preserve"> or anyone who is jointly liable with them</w:t>
      </w:r>
      <w:r w:rsidR="00CF4298" w:rsidRPr="00CF4298">
        <w:t xml:space="preserve"> for a breathing space debt</w:t>
      </w:r>
      <w:r w:rsidR="008119E7">
        <w:t>(</w:t>
      </w:r>
      <w:r w:rsidR="00E02B0B">
        <w:t xml:space="preserve">subject to a successful application to court under Regulation 7 or 19, on which </w:t>
      </w:r>
      <w:r w:rsidR="008119E7">
        <w:t>please see paragraph 4.2 below</w:t>
      </w:r>
      <w:r w:rsidR="00E02B0B">
        <w:t>)</w:t>
      </w:r>
      <w:r w:rsidR="00CF4298" w:rsidRPr="00CF4298">
        <w:t>.</w:t>
      </w:r>
    </w:p>
    <w:p w14:paraId="4A7DD983" w14:textId="77777777" w:rsidR="00246230" w:rsidRDefault="0046376D" w:rsidP="00D67267">
      <w:r>
        <w:t xml:space="preserve">3.2 </w:t>
      </w:r>
      <w:r w:rsidR="00225922" w:rsidRPr="00225922">
        <w:t>You can still start or continue any legal action relating to any debt that is not a breathing space debt, during a breathing space.</w:t>
      </w:r>
    </w:p>
    <w:p w14:paraId="186678A6" w14:textId="77777777" w:rsidR="0046365B" w:rsidRPr="00C9053A" w:rsidRDefault="00B858A7" w:rsidP="00D67267">
      <w:r>
        <w:t xml:space="preserve">3.3 </w:t>
      </w:r>
      <w:r w:rsidR="0046365B" w:rsidRPr="0046365B">
        <w:t xml:space="preserve">Other court proceedings about the debt (other than enforcement of court judgments or orders) </w:t>
      </w:r>
      <w:r>
        <w:t xml:space="preserve">will </w:t>
      </w:r>
      <w:r w:rsidR="0046365B" w:rsidRPr="0046365B">
        <w:t>continue until the court or tribunal makes an order or judgment</w:t>
      </w:r>
      <w:r w:rsidR="0046365B" w:rsidRPr="00C9053A">
        <w:t xml:space="preserve">. At the TEC this will </w:t>
      </w:r>
      <w:r w:rsidR="0046376D" w:rsidRPr="00C9053A">
        <w:t xml:space="preserve">mean that processes will continue </w:t>
      </w:r>
      <w:r w:rsidR="0046365B" w:rsidRPr="00C9053A">
        <w:t>until the TEC</w:t>
      </w:r>
      <w:r w:rsidR="0046376D" w:rsidRPr="00C9053A">
        <w:t xml:space="preserve"> does one of the following:</w:t>
      </w:r>
      <w:r w:rsidR="0046365B" w:rsidRPr="00C9053A">
        <w:t xml:space="preserve">  </w:t>
      </w:r>
    </w:p>
    <w:p w14:paraId="643657BD" w14:textId="017ADC0C" w:rsidR="0046365B" w:rsidRPr="00C9053A" w:rsidRDefault="0046365B" w:rsidP="0046365B">
      <w:pPr>
        <w:pStyle w:val="ListParagraph"/>
        <w:numPr>
          <w:ilvl w:val="0"/>
          <w:numId w:val="11"/>
        </w:numPr>
      </w:pPr>
      <w:r w:rsidRPr="00C9053A">
        <w:t>Revoke</w:t>
      </w:r>
      <w:r w:rsidR="0046376D" w:rsidRPr="00C9053A">
        <w:t>s</w:t>
      </w:r>
      <w:r w:rsidRPr="00C9053A">
        <w:t xml:space="preserve"> the </w:t>
      </w:r>
      <w:r w:rsidR="003814E0" w:rsidRPr="00C9053A">
        <w:t>Order for Recovery;</w:t>
      </w:r>
    </w:p>
    <w:p w14:paraId="13D0D60A" w14:textId="615864A4" w:rsidR="003814E0" w:rsidRPr="00C9053A" w:rsidRDefault="003814E0" w:rsidP="0046365B">
      <w:pPr>
        <w:pStyle w:val="ListParagraph"/>
        <w:numPr>
          <w:ilvl w:val="0"/>
          <w:numId w:val="11"/>
        </w:numPr>
      </w:pPr>
      <w:r w:rsidRPr="00C9053A">
        <w:t xml:space="preserve">Notifies the authority that an application to apply for an out of time application has been </w:t>
      </w:r>
      <w:r w:rsidR="00DF687E" w:rsidRPr="00C9053A">
        <w:t xml:space="preserve">refused. </w:t>
      </w:r>
    </w:p>
    <w:p w14:paraId="4DAFF215" w14:textId="77777777" w:rsidR="00FE4609" w:rsidRDefault="00FE4609" w:rsidP="00225922">
      <w:pPr>
        <w:pStyle w:val="ListParagraph"/>
        <w:ind w:left="360"/>
      </w:pPr>
    </w:p>
    <w:p w14:paraId="71E6EF29" w14:textId="77777777" w:rsidR="00225922" w:rsidRDefault="00225922" w:rsidP="00225922">
      <w:pPr>
        <w:pStyle w:val="ListParagraph"/>
        <w:ind w:left="360"/>
      </w:pPr>
    </w:p>
    <w:p w14:paraId="4371E870" w14:textId="77777777" w:rsidR="00D91127" w:rsidRDefault="00A31C48" w:rsidP="00D67267">
      <w:proofErr w:type="gramStart"/>
      <w:r>
        <w:t xml:space="preserve">4.1  </w:t>
      </w:r>
      <w:r w:rsidR="00D91127">
        <w:t>Enforcement</w:t>
      </w:r>
      <w:proofErr w:type="gramEnd"/>
      <w:r w:rsidR="00D91127">
        <w:t xml:space="preserve"> action for the purposes of users of the TEC is prescribed as when you try to:</w:t>
      </w:r>
    </w:p>
    <w:p w14:paraId="03EEE3F0" w14:textId="77777777" w:rsidR="00D91127" w:rsidRDefault="00D91127" w:rsidP="00D91127">
      <w:pPr>
        <w:pStyle w:val="ListParagraph"/>
        <w:numPr>
          <w:ilvl w:val="0"/>
          <w:numId w:val="10"/>
        </w:numPr>
      </w:pPr>
      <w:r>
        <w:t>collect or enforce a breathing space debt, including where this is done by any agent you’ve appointed. (It does not include an existing attachment of earnings order made before the start of the breathing space, which may continue);</w:t>
      </w:r>
    </w:p>
    <w:p w14:paraId="7EAB1A18" w14:textId="208D6D78" w:rsidR="00D91127" w:rsidRDefault="00D91127" w:rsidP="00D91127">
      <w:pPr>
        <w:pStyle w:val="ListParagraph"/>
        <w:numPr>
          <w:ilvl w:val="0"/>
          <w:numId w:val="10"/>
        </w:numPr>
      </w:pPr>
      <w:r>
        <w:t>try to enforce a judgment or order issued by a court or tribunal, before or during the breathing space, without the court’s permission</w:t>
      </w:r>
      <w:r w:rsidR="00FE4609">
        <w:t xml:space="preserve"> (see </w:t>
      </w:r>
      <w:r w:rsidR="00D67267">
        <w:t xml:space="preserve">4.2 </w:t>
      </w:r>
      <w:r w:rsidR="00FE4609">
        <w:t>below)</w:t>
      </w:r>
      <w:r w:rsidR="001402C2">
        <w:t>;</w:t>
      </w:r>
    </w:p>
    <w:p w14:paraId="0514F57F" w14:textId="77777777" w:rsidR="00D91127" w:rsidRDefault="00D91127" w:rsidP="00D91127">
      <w:pPr>
        <w:pStyle w:val="ListParagraph"/>
        <w:numPr>
          <w:ilvl w:val="0"/>
          <w:numId w:val="10"/>
        </w:numPr>
      </w:pPr>
      <w:r>
        <w:t>obtain a warrant or writ;</w:t>
      </w:r>
    </w:p>
    <w:p w14:paraId="101AB679" w14:textId="77777777" w:rsidR="00D91127" w:rsidRDefault="00D91127" w:rsidP="00D91127">
      <w:pPr>
        <w:pStyle w:val="ListParagraph"/>
        <w:numPr>
          <w:ilvl w:val="0"/>
          <w:numId w:val="10"/>
        </w:numPr>
      </w:pPr>
      <w:r>
        <w:t>sell or take control of the debtor’s property or goods</w:t>
      </w:r>
      <w:r w:rsidR="00BA4726">
        <w:rPr>
          <w:rStyle w:val="FootnoteReference"/>
        </w:rPr>
        <w:footnoteReference w:id="3"/>
      </w:r>
      <w:r w:rsidR="00D21576">
        <w:t>;</w:t>
      </w:r>
    </w:p>
    <w:p w14:paraId="6BD6EF4F" w14:textId="77777777" w:rsidR="00D91127" w:rsidRPr="00D91127" w:rsidRDefault="00D91127" w:rsidP="00D91127">
      <w:pPr>
        <w:pStyle w:val="ListParagraph"/>
        <w:numPr>
          <w:ilvl w:val="0"/>
          <w:numId w:val="10"/>
        </w:numPr>
      </w:pPr>
      <w:r w:rsidRPr="00D91127">
        <w:t>make an application for a default judgment for a claim for money against the debtor</w:t>
      </w:r>
      <w:r w:rsidR="00D21576">
        <w:t>;</w:t>
      </w:r>
    </w:p>
    <w:p w14:paraId="2FA7A21C" w14:textId="77777777" w:rsidR="00D91127" w:rsidRDefault="00D91127" w:rsidP="00D91127">
      <w:pPr>
        <w:pStyle w:val="ListParagraph"/>
        <w:numPr>
          <w:ilvl w:val="0"/>
          <w:numId w:val="10"/>
        </w:numPr>
      </w:pPr>
      <w:r w:rsidRPr="00D91127">
        <w:t>start any action or legal proceedings (including bankruptcy petitions) against the debtor</w:t>
      </w:r>
      <w:r>
        <w:t xml:space="preserve">; </w:t>
      </w:r>
    </w:p>
    <w:p w14:paraId="4D02E21D" w14:textId="77777777" w:rsidR="00D91127" w:rsidRDefault="00D91127" w:rsidP="00D91127">
      <w:pPr>
        <w:pStyle w:val="ListParagraph"/>
        <w:numPr>
          <w:ilvl w:val="0"/>
          <w:numId w:val="10"/>
        </w:numPr>
      </w:pPr>
      <w:r w:rsidRPr="00D91127">
        <w:t>contact the debtor about the enforcement of a breathing space debt. The only exception to this is where you are required to contact or engage with the debtor under the Consumer Credit Act 1974, or by the FCA Handbook</w:t>
      </w:r>
      <w:r>
        <w:t>.</w:t>
      </w:r>
    </w:p>
    <w:p w14:paraId="02A9597E" w14:textId="77777777" w:rsidR="001402C2" w:rsidRDefault="001402C2" w:rsidP="001402C2">
      <w:pPr>
        <w:pStyle w:val="ListParagraph"/>
      </w:pPr>
    </w:p>
    <w:p w14:paraId="35DAD9EA" w14:textId="77777777" w:rsidR="00D91127" w:rsidRDefault="00A31C48" w:rsidP="00D21576">
      <w:pPr>
        <w:pStyle w:val="ListParagraph"/>
        <w:ind w:left="0"/>
      </w:pPr>
      <w:r>
        <w:t xml:space="preserve">4.2   </w:t>
      </w:r>
      <w:r w:rsidR="001402C2">
        <w:t>P</w:t>
      </w:r>
      <w:r w:rsidR="001402C2" w:rsidRPr="001402C2">
        <w:t>lease see here</w:t>
      </w:r>
      <w:r w:rsidR="001402C2">
        <w:t xml:space="preserve"> for processes </w:t>
      </w:r>
      <w:r w:rsidR="001402C2" w:rsidRPr="0052429C">
        <w:t>on how to</w:t>
      </w:r>
      <w:r w:rsidR="00FE4609" w:rsidRPr="0052429C">
        <w:t xml:space="preserve"> appl</w:t>
      </w:r>
      <w:r w:rsidR="001402C2" w:rsidRPr="0052429C">
        <w:t>y</w:t>
      </w:r>
      <w:r w:rsidR="00FE4609" w:rsidRPr="0052429C">
        <w:t xml:space="preserve"> to the court </w:t>
      </w:r>
      <w:r w:rsidR="00AA2E5A" w:rsidRPr="0052429C">
        <w:t>to take any enforcement action</w:t>
      </w:r>
      <w:r w:rsidR="00FE4609" w:rsidRPr="0052429C">
        <w:t xml:space="preserve"> under Regulation</w:t>
      </w:r>
      <w:r w:rsidR="00FE4609" w:rsidRPr="00FE4609">
        <w:t xml:space="preserve"> 7</w:t>
      </w:r>
      <w:r w:rsidR="00AA2E5A">
        <w:t>, or to cancel a breathing space under Regulat</w:t>
      </w:r>
      <w:r w:rsidR="0052429C">
        <w:t>i</w:t>
      </w:r>
      <w:r w:rsidR="00AA2E5A">
        <w:t>on 19</w:t>
      </w:r>
      <w:r w:rsidR="00AA2E5A" w:rsidRPr="00AA2E5A">
        <w:t xml:space="preserve"> of the Debt Respite Regulations</w:t>
      </w:r>
      <w:r w:rsidR="001402C2">
        <w:t>.</w:t>
      </w:r>
      <w:r w:rsidR="00B43629">
        <w:t xml:space="preserve">  </w:t>
      </w:r>
      <w:r w:rsidR="00FE4609" w:rsidRPr="00FE4609">
        <w:t>Please note applications under this process should be made to the</w:t>
      </w:r>
      <w:r w:rsidR="0052429C">
        <w:t xml:space="preserve"> respondent’s</w:t>
      </w:r>
      <w:r w:rsidR="00FE4609" w:rsidRPr="00FE4609">
        <w:t xml:space="preserve"> local court.</w:t>
      </w:r>
    </w:p>
    <w:p w14:paraId="27E6C71E" w14:textId="77777777" w:rsidR="001402C2" w:rsidRDefault="001402C2" w:rsidP="001402C2">
      <w:pPr>
        <w:pStyle w:val="ListParagraph"/>
        <w:ind w:left="360"/>
      </w:pPr>
    </w:p>
    <w:p w14:paraId="5B71A3F6" w14:textId="77777777" w:rsidR="001402C2" w:rsidRPr="00FA2B64" w:rsidRDefault="00A31C48" w:rsidP="00D21576">
      <w:pPr>
        <w:pStyle w:val="ListParagraph"/>
        <w:ind w:left="0"/>
      </w:pPr>
      <w:r>
        <w:t xml:space="preserve">4.3 </w:t>
      </w:r>
      <w:r w:rsidR="001402C2" w:rsidRPr="00FA2B64">
        <w:t>Where permission is granted</w:t>
      </w:r>
      <w:r w:rsidR="00C320DF" w:rsidRPr="00FA2B64">
        <w:t xml:space="preserve"> to </w:t>
      </w:r>
      <w:r w:rsidR="00AA2E5A" w:rsidRPr="00FA2B64">
        <w:t xml:space="preserve">take a step or where breathing space is cancelled in respect of some or all of the debt </w:t>
      </w:r>
      <w:r w:rsidR="001402C2" w:rsidRPr="00FA2B64">
        <w:t>following an application to court, you are not required to send a copy of the court order to the TEC</w:t>
      </w:r>
      <w:r w:rsidR="00FB3115" w:rsidRPr="00FA2B64">
        <w:t>,</w:t>
      </w:r>
      <w:r w:rsidR="001402C2" w:rsidRPr="00FA2B64">
        <w:t xml:space="preserve"> but</w:t>
      </w:r>
      <w:r w:rsidR="00D21576">
        <w:t xml:space="preserve"> </w:t>
      </w:r>
      <w:r w:rsidR="001402C2" w:rsidRPr="00FA2B64">
        <w:t xml:space="preserve">you must keep it as a record of the court’s decision. </w:t>
      </w:r>
    </w:p>
    <w:p w14:paraId="31ABFAF2" w14:textId="77777777" w:rsidR="00D91127" w:rsidRPr="00D91127" w:rsidRDefault="00B60F62" w:rsidP="0046365B">
      <w:r w:rsidRPr="00B60F62">
        <w:rPr>
          <w:u w:val="single"/>
        </w:rPr>
        <w:t>Processes at the TEC</w:t>
      </w:r>
    </w:p>
    <w:p w14:paraId="2DC6E2F1" w14:textId="77777777" w:rsidR="00B60F62" w:rsidRDefault="00B60F62" w:rsidP="00225922">
      <w:r>
        <w:t xml:space="preserve">5.1 Where an authority has been notified that a respondent to a charge certificate is in a breathing space, the authority </w:t>
      </w:r>
      <w:r w:rsidRPr="001402C2">
        <w:rPr>
          <w:b/>
        </w:rPr>
        <w:t>must not</w:t>
      </w:r>
      <w:r w:rsidR="00DF687E">
        <w:rPr>
          <w:b/>
        </w:rPr>
        <w:t xml:space="preserve"> </w:t>
      </w:r>
      <w:r w:rsidR="00DF687E">
        <w:t xml:space="preserve">file a request to the TEC to recover an unpaid charge. </w:t>
      </w:r>
      <w:r w:rsidR="00225922">
        <w:t xml:space="preserve">Recovery of unpaid penalty charges </w:t>
      </w:r>
      <w:r w:rsidR="00225922" w:rsidRPr="00225922">
        <w:t xml:space="preserve">can continue when the breathing space ends. </w:t>
      </w:r>
    </w:p>
    <w:p w14:paraId="41FD06E6" w14:textId="4DE01B2B" w:rsidR="0089267B" w:rsidRDefault="00B858A7" w:rsidP="0089267B">
      <w:r w:rsidRPr="00C70762">
        <w:t xml:space="preserve">5.2. </w:t>
      </w:r>
      <w:r w:rsidR="00CB7DF3">
        <w:t xml:space="preserve">Where </w:t>
      </w:r>
      <w:r w:rsidR="00D0255F">
        <w:t xml:space="preserve">the debt has been registered </w:t>
      </w:r>
      <w:r w:rsidR="00CB7DF3">
        <w:t xml:space="preserve">at the TEC </w:t>
      </w:r>
      <w:r w:rsidR="00D0255F">
        <w:t xml:space="preserve">and the </w:t>
      </w:r>
      <w:r w:rsidR="0089267B">
        <w:t>authority h</w:t>
      </w:r>
      <w:r w:rsidR="00D0255F">
        <w:t xml:space="preserve">as </w:t>
      </w:r>
      <w:r w:rsidR="00CB7DF3">
        <w:t xml:space="preserve">subsequently </w:t>
      </w:r>
      <w:r w:rsidR="00D0255F">
        <w:t xml:space="preserve">been notified that a debtor has entered </w:t>
      </w:r>
      <w:r w:rsidR="0089267B">
        <w:t>a breathing space,</w:t>
      </w:r>
      <w:r w:rsidR="00CB7DF3" w:rsidRPr="00CB7DF3">
        <w:t xml:space="preserve"> for the purposes of regula</w:t>
      </w:r>
      <w:r w:rsidR="00CB7DF3">
        <w:t xml:space="preserve">tion 10 of the </w:t>
      </w:r>
      <w:r w:rsidR="00E154D7">
        <w:t xml:space="preserve">Debt Respite </w:t>
      </w:r>
      <w:r w:rsidR="00CB7DF3">
        <w:t>Regulations,</w:t>
      </w:r>
      <w:r w:rsidR="0089267B">
        <w:t xml:space="preserve"> the authority </w:t>
      </w:r>
      <w:r w:rsidR="00E154D7">
        <w:t xml:space="preserve">must </w:t>
      </w:r>
      <w:r w:rsidR="00962299">
        <w:t>notify the TEC</w:t>
      </w:r>
      <w:r w:rsidR="00C94BA5">
        <w:t xml:space="preserve">. It should do so by </w:t>
      </w:r>
      <w:r w:rsidR="0089267B">
        <w:t>send</w:t>
      </w:r>
      <w:r w:rsidR="00C94BA5">
        <w:t>ing</w:t>
      </w:r>
      <w:r w:rsidR="0089267B">
        <w:t xml:space="preserve"> an email notification to the TEC at</w:t>
      </w:r>
      <w:r w:rsidR="00901473">
        <w:t xml:space="preserve"> </w:t>
      </w:r>
      <w:hyperlink r:id="rId13" w:history="1">
        <w:r w:rsidR="00901473" w:rsidRPr="00FB0270">
          <w:rPr>
            <w:rStyle w:val="Hyperlink"/>
          </w:rPr>
          <w:t>tec.breathingspace@justice.gov.uk</w:t>
        </w:r>
      </w:hyperlink>
      <w:r w:rsidR="00CB7DF3">
        <w:t xml:space="preserve">. </w:t>
      </w:r>
    </w:p>
    <w:p w14:paraId="22FE8D1C" w14:textId="0C85CE46" w:rsidR="005E1742" w:rsidRDefault="0089267B" w:rsidP="00225922">
      <w:r>
        <w:t xml:space="preserve">5.3 </w:t>
      </w:r>
      <w:r w:rsidR="00CB7DF3">
        <w:t>A</w:t>
      </w:r>
      <w:r w:rsidR="00901473">
        <w:t xml:space="preserve">uthorities may send a single email containing details of all debtors </w:t>
      </w:r>
      <w:r w:rsidR="005E1742">
        <w:t xml:space="preserve">who </w:t>
      </w:r>
      <w:r w:rsidR="00901473">
        <w:t>the</w:t>
      </w:r>
      <w:r w:rsidR="00CB7DF3">
        <w:t xml:space="preserve">y have received notification </w:t>
      </w:r>
      <w:r w:rsidR="005E1742">
        <w:t xml:space="preserve">about </w:t>
      </w:r>
      <w:r w:rsidR="00CB7DF3">
        <w:t xml:space="preserve">entering </w:t>
      </w:r>
      <w:r w:rsidR="00901473">
        <w:t xml:space="preserve">a breathing space or </w:t>
      </w:r>
      <w:r w:rsidR="005E1742">
        <w:t xml:space="preserve">alternatively they can send </w:t>
      </w:r>
      <w:r w:rsidR="00901473">
        <w:t xml:space="preserve">a single email for each debtor.  </w:t>
      </w:r>
      <w:r w:rsidR="00A4471D">
        <w:t>T</w:t>
      </w:r>
      <w:r w:rsidR="00E154D7">
        <w:t xml:space="preserve">he </w:t>
      </w:r>
      <w:r w:rsidR="00FE7241">
        <w:t xml:space="preserve">Debt Respite </w:t>
      </w:r>
      <w:r w:rsidR="00E154D7">
        <w:t>Regulations do not prescribe a specific timeframe</w:t>
      </w:r>
      <w:r w:rsidR="00D0255F">
        <w:t xml:space="preserve"> for sending th</w:t>
      </w:r>
      <w:r w:rsidR="005E1742">
        <w:t xml:space="preserve">e </w:t>
      </w:r>
      <w:r w:rsidR="00D0255F">
        <w:t>notification</w:t>
      </w:r>
      <w:r w:rsidR="005E1742">
        <w:t xml:space="preserve"> to the TEC. </w:t>
      </w:r>
      <w:r w:rsidR="00973C70">
        <w:t xml:space="preserve"> It is </w:t>
      </w:r>
      <w:r w:rsidR="00901473">
        <w:t>suggest</w:t>
      </w:r>
      <w:r w:rsidR="00973C70">
        <w:t>ed</w:t>
      </w:r>
      <w:r w:rsidR="00901473">
        <w:t xml:space="preserve"> the email includes date of notification from the electronic service, the breathing space reference number and the name of the debtor and </w:t>
      </w:r>
      <w:r w:rsidR="007F2028">
        <w:t xml:space="preserve">the Penalty Charge Notice reference number.  </w:t>
      </w:r>
    </w:p>
    <w:p w14:paraId="1A781FB3" w14:textId="588B8860" w:rsidR="00225922" w:rsidRDefault="00B60F62" w:rsidP="00225922">
      <w:r>
        <w:t>5.</w:t>
      </w:r>
      <w:r w:rsidR="00B858A7">
        <w:t>3</w:t>
      </w:r>
      <w:r>
        <w:t xml:space="preserve"> </w:t>
      </w:r>
      <w:r w:rsidR="005B75C3">
        <w:t>If a breathing space commences after registration, the TEC</w:t>
      </w:r>
      <w:r w:rsidR="00225922">
        <w:t xml:space="preserve"> </w:t>
      </w:r>
      <w:r w:rsidR="003814E0">
        <w:t>will</w:t>
      </w:r>
      <w:r w:rsidR="00225922" w:rsidRPr="00225922">
        <w:t xml:space="preserve"> continue to process </w:t>
      </w:r>
      <w:r w:rsidR="00225922">
        <w:t>applications in</w:t>
      </w:r>
      <w:r w:rsidR="00225922" w:rsidRPr="00225922">
        <w:t xml:space="preserve"> the usual way</w:t>
      </w:r>
      <w:r w:rsidR="00C26405">
        <w:t>.</w:t>
      </w:r>
      <w:r w:rsidR="00C320DF">
        <w:t xml:space="preserve"> </w:t>
      </w:r>
      <w:r w:rsidR="00A05CBF" w:rsidRPr="00A05CBF">
        <w:t xml:space="preserve">The </w:t>
      </w:r>
      <w:r w:rsidR="00A05CBF">
        <w:t xml:space="preserve">TEC </w:t>
      </w:r>
      <w:r w:rsidR="003814E0">
        <w:t xml:space="preserve">will continue to </w:t>
      </w:r>
      <w:r w:rsidR="00A05CBF" w:rsidRPr="00A05CBF">
        <w:t xml:space="preserve">send notices or correspondence to the debtor </w:t>
      </w:r>
      <w:r w:rsidR="003814E0">
        <w:t xml:space="preserve">and the authority </w:t>
      </w:r>
      <w:r w:rsidR="00A05CBF">
        <w:t xml:space="preserve">during a breathing space. </w:t>
      </w:r>
    </w:p>
    <w:p w14:paraId="0D64D62B" w14:textId="3ED3A5C7" w:rsidR="00B43629" w:rsidRDefault="00225922" w:rsidP="00225922">
      <w:pPr>
        <w:rPr>
          <w:strike/>
        </w:rPr>
      </w:pPr>
      <w:r>
        <w:t>5.</w:t>
      </w:r>
      <w:r w:rsidR="00B858A7">
        <w:t>4</w:t>
      </w:r>
      <w:r w:rsidR="00B43629">
        <w:t xml:space="preserve"> </w:t>
      </w:r>
      <w:r w:rsidR="00A05CBF">
        <w:t xml:space="preserve">A </w:t>
      </w:r>
      <w:r w:rsidR="00A05CBF" w:rsidRPr="007A03E5">
        <w:t xml:space="preserve">respondent will be expected to reply to letters during this time.  </w:t>
      </w:r>
    </w:p>
    <w:p w14:paraId="7078F5AD" w14:textId="7BFBB6D8" w:rsidR="0052429C" w:rsidRDefault="00B43629" w:rsidP="00225922">
      <w:r w:rsidRPr="001402C2">
        <w:t>5.5</w:t>
      </w:r>
      <w:r w:rsidR="00A05CBF" w:rsidRPr="001402C2">
        <w:t xml:space="preserve"> </w:t>
      </w:r>
      <w:r w:rsidR="001402C2">
        <w:t>A</w:t>
      </w:r>
      <w:r>
        <w:t xml:space="preserve"> respondent may submit an out of time application,</w:t>
      </w:r>
      <w:r w:rsidR="001402C2">
        <w:t xml:space="preserve"> either form</w:t>
      </w:r>
      <w:r>
        <w:t xml:space="preserve"> TE7</w:t>
      </w:r>
      <w:r w:rsidR="001402C2">
        <w:t xml:space="preserve"> or form PE2 during a breathing space and the court will consider the applications in the usual way. </w:t>
      </w:r>
    </w:p>
    <w:p w14:paraId="6B75E7AE" w14:textId="77777777" w:rsidR="00225922" w:rsidRPr="0046365B" w:rsidRDefault="00225922" w:rsidP="00225922">
      <w:pPr>
        <w:rPr>
          <w:u w:val="single"/>
        </w:rPr>
      </w:pPr>
      <w:r w:rsidRPr="0046365B">
        <w:rPr>
          <w:u w:val="single"/>
        </w:rPr>
        <w:t>Enforcement</w:t>
      </w:r>
    </w:p>
    <w:p w14:paraId="2545E58A" w14:textId="77777777" w:rsidR="0046365B" w:rsidRDefault="0046365B" w:rsidP="00225922">
      <w:r>
        <w:t xml:space="preserve">6.1 </w:t>
      </w:r>
      <w:r w:rsidR="00225922">
        <w:t>Where an a</w:t>
      </w:r>
      <w:r w:rsidR="00B60F62">
        <w:t>uthorit</w:t>
      </w:r>
      <w:r w:rsidR="00225922">
        <w:t xml:space="preserve">y has been notified of a breathing space the authority </w:t>
      </w:r>
      <w:r w:rsidR="00F64BA5" w:rsidRPr="00B858A7">
        <w:rPr>
          <w:b/>
        </w:rPr>
        <w:t xml:space="preserve">must </w:t>
      </w:r>
      <w:r w:rsidR="00225922" w:rsidRPr="00B858A7">
        <w:rPr>
          <w:b/>
        </w:rPr>
        <w:t>not</w:t>
      </w:r>
      <w:r w:rsidR="00225922">
        <w:t xml:space="preserve"> </w:t>
      </w:r>
      <w:r>
        <w:t xml:space="preserve">issue a warrant request in respect of the respondent to the TEC.  </w:t>
      </w:r>
    </w:p>
    <w:p w14:paraId="0583A532" w14:textId="77777777" w:rsidR="003814E0" w:rsidRDefault="0046365B" w:rsidP="00225922">
      <w:r>
        <w:t>6.2 Where a warrant request had been</w:t>
      </w:r>
      <w:r w:rsidR="00F64BA5">
        <w:t xml:space="preserve"> made</w:t>
      </w:r>
      <w:r w:rsidR="00B858A7">
        <w:t xml:space="preserve"> before breathing space,</w:t>
      </w:r>
      <w:r>
        <w:t xml:space="preserve"> </w:t>
      </w:r>
      <w:r w:rsidR="00B858A7">
        <w:t xml:space="preserve">the </w:t>
      </w:r>
      <w:r>
        <w:t xml:space="preserve">TEC </w:t>
      </w:r>
      <w:r w:rsidR="00B858A7">
        <w:t xml:space="preserve">will issue the warrant.  The TEC </w:t>
      </w:r>
      <w:r>
        <w:t xml:space="preserve">processes do not allow the issue </w:t>
      </w:r>
      <w:r w:rsidR="00B858A7">
        <w:t xml:space="preserve">of a warrant </w:t>
      </w:r>
      <w:r>
        <w:t>to be paused</w:t>
      </w:r>
      <w:r w:rsidR="003814E0">
        <w:t>.</w:t>
      </w:r>
    </w:p>
    <w:p w14:paraId="26651C46" w14:textId="77777777" w:rsidR="0046365B" w:rsidRDefault="003814E0" w:rsidP="00225922">
      <w:r>
        <w:t>6.3 A</w:t>
      </w:r>
      <w:r w:rsidR="0046365B">
        <w:t xml:space="preserve">uthorities </w:t>
      </w:r>
      <w:r w:rsidR="0046365B" w:rsidRPr="0046365B">
        <w:rPr>
          <w:b/>
        </w:rPr>
        <w:t>must not</w:t>
      </w:r>
      <w:r w:rsidR="0046365B">
        <w:t xml:space="preserve"> instruct enforcement agents where they are aware that the respondent is in a breathing space.  </w:t>
      </w:r>
    </w:p>
    <w:p w14:paraId="0FFA6A3F" w14:textId="77777777" w:rsidR="003814E0" w:rsidRDefault="0046365B" w:rsidP="007C6F2D">
      <w:pPr>
        <w:rPr>
          <w:b/>
        </w:rPr>
      </w:pPr>
      <w:r>
        <w:t>6.</w:t>
      </w:r>
      <w:r w:rsidR="003814E0">
        <w:t xml:space="preserve">4 </w:t>
      </w:r>
      <w:r w:rsidR="007C6F2D">
        <w:t>If you are notified that a debt has gone into a breathing space, you must tell any agents you’ve appointed or instructed</w:t>
      </w:r>
      <w:r w:rsidR="00F64BA5">
        <w:t xml:space="preserve"> not</w:t>
      </w:r>
      <w:r w:rsidR="007C6F2D">
        <w:t xml:space="preserve"> to recover it. You must tell the agent to stop enforcement action. </w:t>
      </w:r>
      <w:r w:rsidR="007C6F2D" w:rsidRPr="0046365B">
        <w:rPr>
          <w:b/>
        </w:rPr>
        <w:t xml:space="preserve">If you do not do this as soon as possible, you may be liable for any losses the debtor or the agent </w:t>
      </w:r>
      <w:r w:rsidR="00B858A7">
        <w:rPr>
          <w:b/>
        </w:rPr>
        <w:t xml:space="preserve">incur as </w:t>
      </w:r>
      <w:r w:rsidR="007C6F2D" w:rsidRPr="0046365B">
        <w:rPr>
          <w:b/>
        </w:rPr>
        <w:t>a result</w:t>
      </w:r>
      <w:r w:rsidR="00B858A7">
        <w:rPr>
          <w:b/>
        </w:rPr>
        <w:t xml:space="preserve"> of any enforcement action</w:t>
      </w:r>
    </w:p>
    <w:p w14:paraId="14CAAAF0" w14:textId="77777777" w:rsidR="003814E0" w:rsidRDefault="003814E0" w:rsidP="0046365B"/>
    <w:p w14:paraId="3E0C6792" w14:textId="77777777" w:rsidR="00853B83" w:rsidRDefault="00853B83" w:rsidP="00434CB7"/>
    <w:p w14:paraId="7CEE1038" w14:textId="77777777" w:rsidR="00853B83" w:rsidRDefault="00853B83" w:rsidP="00434CB7"/>
    <w:p w14:paraId="53F13FC9" w14:textId="77777777" w:rsidR="00853B83" w:rsidRDefault="003814E0" w:rsidP="00434CB7">
      <w:r>
        <w:t>HMCTS</w:t>
      </w:r>
    </w:p>
    <w:p w14:paraId="6928DD34" w14:textId="77777777" w:rsidR="003814E0" w:rsidRDefault="003814E0" w:rsidP="00434CB7">
      <w:r>
        <w:t>MoJ</w:t>
      </w:r>
    </w:p>
    <w:sectPr w:rsidR="00381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038E" w14:textId="77777777" w:rsidR="00FA37F8" w:rsidRDefault="00FA37F8" w:rsidP="00BA4726">
      <w:pPr>
        <w:spacing w:after="0" w:line="240" w:lineRule="auto"/>
      </w:pPr>
      <w:r>
        <w:separator/>
      </w:r>
    </w:p>
  </w:endnote>
  <w:endnote w:type="continuationSeparator" w:id="0">
    <w:p w14:paraId="6925A29D" w14:textId="77777777" w:rsidR="00FA37F8" w:rsidRDefault="00FA37F8" w:rsidP="00BA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A25A0" w14:textId="77777777" w:rsidR="00FA37F8" w:rsidRDefault="00FA37F8" w:rsidP="00BA4726">
      <w:pPr>
        <w:spacing w:after="0" w:line="240" w:lineRule="auto"/>
      </w:pPr>
      <w:r>
        <w:separator/>
      </w:r>
    </w:p>
  </w:footnote>
  <w:footnote w:type="continuationSeparator" w:id="0">
    <w:p w14:paraId="4A575071" w14:textId="77777777" w:rsidR="00FA37F8" w:rsidRDefault="00FA37F8" w:rsidP="00BA4726">
      <w:pPr>
        <w:spacing w:after="0" w:line="240" w:lineRule="auto"/>
      </w:pPr>
      <w:r>
        <w:continuationSeparator/>
      </w:r>
    </w:p>
  </w:footnote>
  <w:footnote w:id="1">
    <w:p w14:paraId="0D6614CE" w14:textId="05E4388B" w:rsidR="003506DB" w:rsidRPr="003506DB" w:rsidRDefault="003506DB">
      <w:pPr>
        <w:pStyle w:val="FootnoteText"/>
        <w:rPr>
          <w:sz w:val="16"/>
          <w:szCs w:val="16"/>
        </w:rPr>
      </w:pPr>
      <w:r>
        <w:rPr>
          <w:rStyle w:val="FootnoteReference"/>
        </w:rPr>
        <w:footnoteRef/>
      </w:r>
      <w:r>
        <w:t xml:space="preserve"> </w:t>
      </w:r>
      <w:r w:rsidRPr="003506DB">
        <w:rPr>
          <w:sz w:val="16"/>
          <w:szCs w:val="16"/>
        </w:rPr>
        <w:t xml:space="preserve">Regulation 37(4) of the </w:t>
      </w:r>
      <w:r>
        <w:rPr>
          <w:sz w:val="16"/>
          <w:szCs w:val="16"/>
        </w:rPr>
        <w:t xml:space="preserve">Debt Respite </w:t>
      </w:r>
      <w:r w:rsidRPr="003506DB">
        <w:rPr>
          <w:sz w:val="16"/>
          <w:szCs w:val="16"/>
        </w:rPr>
        <w:t>Regulations.</w:t>
      </w:r>
    </w:p>
  </w:footnote>
  <w:footnote w:id="2">
    <w:p w14:paraId="4881E6E9" w14:textId="0E5D4848" w:rsidR="003506DB" w:rsidRDefault="003506DB">
      <w:pPr>
        <w:pStyle w:val="FootnoteText"/>
      </w:pPr>
      <w:r w:rsidRPr="003506DB">
        <w:rPr>
          <w:rStyle w:val="FootnoteReference"/>
          <w:sz w:val="16"/>
          <w:szCs w:val="16"/>
        </w:rPr>
        <w:footnoteRef/>
      </w:r>
      <w:r w:rsidRPr="003506DB">
        <w:rPr>
          <w:sz w:val="16"/>
          <w:szCs w:val="16"/>
        </w:rPr>
        <w:t xml:space="preserve"> </w:t>
      </w:r>
      <w:r w:rsidRPr="003506DB">
        <w:rPr>
          <w:sz w:val="16"/>
          <w:szCs w:val="16"/>
        </w:rPr>
        <w:t xml:space="preserve">Working day is any day except a Saturday, Sunday, bank holiday, Christmas Day or Good Friday </w:t>
      </w:r>
      <w:r w:rsidRPr="003506DB">
        <w:rPr>
          <w:sz w:val="16"/>
          <w:szCs w:val="16"/>
        </w:rPr>
        <w:t>R</w:t>
      </w:r>
      <w:r w:rsidRPr="003506DB">
        <w:rPr>
          <w:sz w:val="16"/>
          <w:szCs w:val="16"/>
        </w:rPr>
        <w:t>eg</w:t>
      </w:r>
      <w:r w:rsidRPr="003506DB">
        <w:rPr>
          <w:sz w:val="16"/>
          <w:szCs w:val="16"/>
        </w:rPr>
        <w:t>ulation</w:t>
      </w:r>
      <w:r w:rsidRPr="003506DB">
        <w:rPr>
          <w:sz w:val="16"/>
          <w:szCs w:val="16"/>
        </w:rPr>
        <w:t xml:space="preserve"> 2 of the </w:t>
      </w:r>
      <w:r>
        <w:rPr>
          <w:sz w:val="16"/>
          <w:szCs w:val="16"/>
        </w:rPr>
        <w:t xml:space="preserve">Debt Respite </w:t>
      </w:r>
      <w:r w:rsidRPr="003506DB">
        <w:rPr>
          <w:sz w:val="16"/>
          <w:szCs w:val="16"/>
        </w:rPr>
        <w:t>Regulations.</w:t>
      </w:r>
    </w:p>
  </w:footnote>
  <w:footnote w:id="3">
    <w:p w14:paraId="1F519554" w14:textId="171735DF" w:rsidR="00BA4726" w:rsidRDefault="00BA4726">
      <w:pPr>
        <w:pStyle w:val="FootnoteText"/>
      </w:pPr>
      <w:r>
        <w:rPr>
          <w:rStyle w:val="FootnoteReference"/>
        </w:rPr>
        <w:footnoteRef/>
      </w:r>
      <w:r>
        <w:t xml:space="preserve"> </w:t>
      </w:r>
      <w:r w:rsidRPr="00BA4726">
        <w:t>Authorities are reminded that if an enforcement agent has taken control of any goods by removing them and securing them elsewhere before a breathing space started, the goods may be sold during the breathing space and the costs of the sale deducted from the proceeds. However, fees accrued during the breathing space for storage of those goods cannot be charged either during the breathing space, or after it ends</w:t>
      </w:r>
      <w:r w:rsidR="00980D7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BB9"/>
    <w:multiLevelType w:val="multilevel"/>
    <w:tmpl w:val="F2A42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60EC9"/>
    <w:multiLevelType w:val="multilevel"/>
    <w:tmpl w:val="C1F094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F7606"/>
    <w:multiLevelType w:val="multilevel"/>
    <w:tmpl w:val="2C8C67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62F24"/>
    <w:multiLevelType w:val="hybridMultilevel"/>
    <w:tmpl w:val="3E28E1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485948"/>
    <w:multiLevelType w:val="hybridMultilevel"/>
    <w:tmpl w:val="60FE8D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12EDC"/>
    <w:multiLevelType w:val="multilevel"/>
    <w:tmpl w:val="E572EB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2B7A3D"/>
    <w:multiLevelType w:val="multilevel"/>
    <w:tmpl w:val="B454A25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9B2B85"/>
    <w:multiLevelType w:val="hybridMultilevel"/>
    <w:tmpl w:val="528A0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D1839"/>
    <w:multiLevelType w:val="hybridMultilevel"/>
    <w:tmpl w:val="AE069C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875FED"/>
    <w:multiLevelType w:val="hybridMultilevel"/>
    <w:tmpl w:val="BD0275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5630D9"/>
    <w:multiLevelType w:val="multilevel"/>
    <w:tmpl w:val="64C41C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306671"/>
    <w:multiLevelType w:val="multilevel"/>
    <w:tmpl w:val="80248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0AB22FC"/>
    <w:multiLevelType w:val="hybridMultilevel"/>
    <w:tmpl w:val="052E305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BE6EC2"/>
    <w:multiLevelType w:val="multilevel"/>
    <w:tmpl w:val="D074AE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295E00"/>
    <w:multiLevelType w:val="multilevel"/>
    <w:tmpl w:val="04AA619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E03DAF"/>
    <w:multiLevelType w:val="hybridMultilevel"/>
    <w:tmpl w:val="DA709274"/>
    <w:lvl w:ilvl="0" w:tplc="F760B95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5"/>
  </w:num>
  <w:num w:numId="5">
    <w:abstractNumId w:val="1"/>
  </w:num>
  <w:num w:numId="6">
    <w:abstractNumId w:val="8"/>
  </w:num>
  <w:num w:numId="7">
    <w:abstractNumId w:val="4"/>
  </w:num>
  <w:num w:numId="8">
    <w:abstractNumId w:val="13"/>
  </w:num>
  <w:num w:numId="9">
    <w:abstractNumId w:val="0"/>
  </w:num>
  <w:num w:numId="10">
    <w:abstractNumId w:val="12"/>
  </w:num>
  <w:num w:numId="11">
    <w:abstractNumId w:val="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9A"/>
    <w:rsid w:val="000060E5"/>
    <w:rsid w:val="0001346F"/>
    <w:rsid w:val="00021F83"/>
    <w:rsid w:val="00027125"/>
    <w:rsid w:val="0003160E"/>
    <w:rsid w:val="00042B2E"/>
    <w:rsid w:val="000558C8"/>
    <w:rsid w:val="00070533"/>
    <w:rsid w:val="000777AD"/>
    <w:rsid w:val="000C2A6A"/>
    <w:rsid w:val="000C343C"/>
    <w:rsid w:val="000D7AED"/>
    <w:rsid w:val="00116427"/>
    <w:rsid w:val="0012330F"/>
    <w:rsid w:val="001402C2"/>
    <w:rsid w:val="00145E18"/>
    <w:rsid w:val="00153694"/>
    <w:rsid w:val="0015663C"/>
    <w:rsid w:val="001627F5"/>
    <w:rsid w:val="00177AF8"/>
    <w:rsid w:val="00185240"/>
    <w:rsid w:val="00197E28"/>
    <w:rsid w:val="001C3549"/>
    <w:rsid w:val="001E19D5"/>
    <w:rsid w:val="00223C4E"/>
    <w:rsid w:val="00225922"/>
    <w:rsid w:val="00232AFF"/>
    <w:rsid w:val="0024089A"/>
    <w:rsid w:val="00246230"/>
    <w:rsid w:val="00295B74"/>
    <w:rsid w:val="002A7AC8"/>
    <w:rsid w:val="002C174C"/>
    <w:rsid w:val="002C4A87"/>
    <w:rsid w:val="002D143C"/>
    <w:rsid w:val="002D415C"/>
    <w:rsid w:val="002D57C1"/>
    <w:rsid w:val="002E4C63"/>
    <w:rsid w:val="003506DB"/>
    <w:rsid w:val="00366087"/>
    <w:rsid w:val="003814E0"/>
    <w:rsid w:val="003F1822"/>
    <w:rsid w:val="003F2E49"/>
    <w:rsid w:val="0040604D"/>
    <w:rsid w:val="00406EF8"/>
    <w:rsid w:val="00426A7B"/>
    <w:rsid w:val="00434CB7"/>
    <w:rsid w:val="004633FD"/>
    <w:rsid w:val="0046365B"/>
    <w:rsid w:val="0046376D"/>
    <w:rsid w:val="0047056E"/>
    <w:rsid w:val="004842CD"/>
    <w:rsid w:val="004D2AB8"/>
    <w:rsid w:val="00516B8B"/>
    <w:rsid w:val="0052429C"/>
    <w:rsid w:val="00527D4C"/>
    <w:rsid w:val="0054418A"/>
    <w:rsid w:val="00550AA2"/>
    <w:rsid w:val="005B3EA4"/>
    <w:rsid w:val="005B75C3"/>
    <w:rsid w:val="005D2E48"/>
    <w:rsid w:val="005D3D5D"/>
    <w:rsid w:val="005E1742"/>
    <w:rsid w:val="005E68AD"/>
    <w:rsid w:val="00654363"/>
    <w:rsid w:val="00667DFC"/>
    <w:rsid w:val="00676433"/>
    <w:rsid w:val="0067794A"/>
    <w:rsid w:val="006959D4"/>
    <w:rsid w:val="006A368D"/>
    <w:rsid w:val="006B6EAA"/>
    <w:rsid w:val="006C01B4"/>
    <w:rsid w:val="006F1A99"/>
    <w:rsid w:val="00700E8E"/>
    <w:rsid w:val="00712620"/>
    <w:rsid w:val="00722B52"/>
    <w:rsid w:val="007A03E5"/>
    <w:rsid w:val="007C6F2D"/>
    <w:rsid w:val="007F2028"/>
    <w:rsid w:val="008119E7"/>
    <w:rsid w:val="00825788"/>
    <w:rsid w:val="00830AF9"/>
    <w:rsid w:val="00853B83"/>
    <w:rsid w:val="0089267B"/>
    <w:rsid w:val="008934CA"/>
    <w:rsid w:val="008A028D"/>
    <w:rsid w:val="008A2B38"/>
    <w:rsid w:val="008A55FA"/>
    <w:rsid w:val="008D4E9C"/>
    <w:rsid w:val="008F13EE"/>
    <w:rsid w:val="00901473"/>
    <w:rsid w:val="009600D2"/>
    <w:rsid w:val="00962299"/>
    <w:rsid w:val="009679D9"/>
    <w:rsid w:val="00973C70"/>
    <w:rsid w:val="00980D73"/>
    <w:rsid w:val="0098469A"/>
    <w:rsid w:val="009C77DA"/>
    <w:rsid w:val="009D2AA1"/>
    <w:rsid w:val="00A02EAE"/>
    <w:rsid w:val="00A05CBF"/>
    <w:rsid w:val="00A31C48"/>
    <w:rsid w:val="00A4471D"/>
    <w:rsid w:val="00A52D24"/>
    <w:rsid w:val="00AA2E5A"/>
    <w:rsid w:val="00AB0F37"/>
    <w:rsid w:val="00AD7CA2"/>
    <w:rsid w:val="00AE2B23"/>
    <w:rsid w:val="00B047C6"/>
    <w:rsid w:val="00B06E3A"/>
    <w:rsid w:val="00B14122"/>
    <w:rsid w:val="00B43629"/>
    <w:rsid w:val="00B55A2C"/>
    <w:rsid w:val="00B55D71"/>
    <w:rsid w:val="00B60F62"/>
    <w:rsid w:val="00B858A7"/>
    <w:rsid w:val="00B9067D"/>
    <w:rsid w:val="00BA4726"/>
    <w:rsid w:val="00BB4746"/>
    <w:rsid w:val="00BB4B2F"/>
    <w:rsid w:val="00C07462"/>
    <w:rsid w:val="00C135F9"/>
    <w:rsid w:val="00C24496"/>
    <w:rsid w:val="00C25DD9"/>
    <w:rsid w:val="00C26405"/>
    <w:rsid w:val="00C320DF"/>
    <w:rsid w:val="00C3435B"/>
    <w:rsid w:val="00C45A52"/>
    <w:rsid w:val="00C70762"/>
    <w:rsid w:val="00C85701"/>
    <w:rsid w:val="00C9053A"/>
    <w:rsid w:val="00C94BA5"/>
    <w:rsid w:val="00CB7DF3"/>
    <w:rsid w:val="00CF4298"/>
    <w:rsid w:val="00D0255F"/>
    <w:rsid w:val="00D12624"/>
    <w:rsid w:val="00D21576"/>
    <w:rsid w:val="00D226A7"/>
    <w:rsid w:val="00D579BA"/>
    <w:rsid w:val="00D67267"/>
    <w:rsid w:val="00D91127"/>
    <w:rsid w:val="00D91F2D"/>
    <w:rsid w:val="00DA5F33"/>
    <w:rsid w:val="00DD5A21"/>
    <w:rsid w:val="00DF687E"/>
    <w:rsid w:val="00E02B0B"/>
    <w:rsid w:val="00E154D7"/>
    <w:rsid w:val="00E2080F"/>
    <w:rsid w:val="00E24F7F"/>
    <w:rsid w:val="00E26019"/>
    <w:rsid w:val="00E266F9"/>
    <w:rsid w:val="00E7430B"/>
    <w:rsid w:val="00E86EAB"/>
    <w:rsid w:val="00EA1D16"/>
    <w:rsid w:val="00F12823"/>
    <w:rsid w:val="00F22C8B"/>
    <w:rsid w:val="00F33CB5"/>
    <w:rsid w:val="00F64BA5"/>
    <w:rsid w:val="00F73C23"/>
    <w:rsid w:val="00FA2120"/>
    <w:rsid w:val="00FA2B64"/>
    <w:rsid w:val="00FA37F8"/>
    <w:rsid w:val="00FB176A"/>
    <w:rsid w:val="00FB3115"/>
    <w:rsid w:val="00FD0023"/>
    <w:rsid w:val="00FE4609"/>
    <w:rsid w:val="00FE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26ED"/>
  <w15:chartTrackingRefBased/>
  <w15:docId w15:val="{CE263464-CD9D-4DA2-8DEE-F88F5C61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B83"/>
    <w:rPr>
      <w:color w:val="0563C1" w:themeColor="hyperlink"/>
      <w:u w:val="single"/>
    </w:rPr>
  </w:style>
  <w:style w:type="character" w:styleId="UnresolvedMention">
    <w:name w:val="Unresolved Mention"/>
    <w:basedOn w:val="DefaultParagraphFont"/>
    <w:uiPriority w:val="99"/>
    <w:semiHidden/>
    <w:unhideWhenUsed/>
    <w:rsid w:val="00853B83"/>
    <w:rPr>
      <w:color w:val="605E5C"/>
      <w:shd w:val="clear" w:color="auto" w:fill="E1DFDD"/>
    </w:rPr>
  </w:style>
  <w:style w:type="paragraph" w:styleId="ListParagraph">
    <w:name w:val="List Paragraph"/>
    <w:basedOn w:val="Normal"/>
    <w:uiPriority w:val="34"/>
    <w:qFormat/>
    <w:rsid w:val="002A7AC8"/>
    <w:pPr>
      <w:ind w:left="720"/>
      <w:contextualSpacing/>
    </w:pPr>
  </w:style>
  <w:style w:type="character" w:styleId="CommentReference">
    <w:name w:val="annotation reference"/>
    <w:basedOn w:val="DefaultParagraphFont"/>
    <w:uiPriority w:val="99"/>
    <w:semiHidden/>
    <w:unhideWhenUsed/>
    <w:rsid w:val="00CF4298"/>
    <w:rPr>
      <w:sz w:val="16"/>
      <w:szCs w:val="16"/>
    </w:rPr>
  </w:style>
  <w:style w:type="paragraph" w:styleId="CommentText">
    <w:name w:val="annotation text"/>
    <w:basedOn w:val="Normal"/>
    <w:link w:val="CommentTextChar"/>
    <w:uiPriority w:val="99"/>
    <w:unhideWhenUsed/>
    <w:rsid w:val="00CF4298"/>
    <w:pPr>
      <w:spacing w:line="240" w:lineRule="auto"/>
    </w:pPr>
    <w:rPr>
      <w:sz w:val="20"/>
      <w:szCs w:val="20"/>
    </w:rPr>
  </w:style>
  <w:style w:type="character" w:customStyle="1" w:styleId="CommentTextChar">
    <w:name w:val="Comment Text Char"/>
    <w:basedOn w:val="DefaultParagraphFont"/>
    <w:link w:val="CommentText"/>
    <w:uiPriority w:val="99"/>
    <w:rsid w:val="00CF4298"/>
    <w:rPr>
      <w:sz w:val="20"/>
      <w:szCs w:val="20"/>
    </w:rPr>
  </w:style>
  <w:style w:type="paragraph" w:styleId="CommentSubject">
    <w:name w:val="annotation subject"/>
    <w:basedOn w:val="CommentText"/>
    <w:next w:val="CommentText"/>
    <w:link w:val="CommentSubjectChar"/>
    <w:uiPriority w:val="99"/>
    <w:semiHidden/>
    <w:unhideWhenUsed/>
    <w:rsid w:val="00CF4298"/>
    <w:rPr>
      <w:b/>
      <w:bCs/>
    </w:rPr>
  </w:style>
  <w:style w:type="character" w:customStyle="1" w:styleId="CommentSubjectChar">
    <w:name w:val="Comment Subject Char"/>
    <w:basedOn w:val="CommentTextChar"/>
    <w:link w:val="CommentSubject"/>
    <w:uiPriority w:val="99"/>
    <w:semiHidden/>
    <w:rsid w:val="00CF4298"/>
    <w:rPr>
      <w:b/>
      <w:bCs/>
      <w:sz w:val="20"/>
      <w:szCs w:val="20"/>
    </w:rPr>
  </w:style>
  <w:style w:type="paragraph" w:styleId="BalloonText">
    <w:name w:val="Balloon Text"/>
    <w:basedOn w:val="Normal"/>
    <w:link w:val="BalloonTextChar"/>
    <w:uiPriority w:val="99"/>
    <w:semiHidden/>
    <w:unhideWhenUsed/>
    <w:rsid w:val="00CF4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298"/>
    <w:rPr>
      <w:rFonts w:ascii="Segoe UI" w:hAnsi="Segoe UI" w:cs="Segoe UI"/>
      <w:sz w:val="18"/>
      <w:szCs w:val="18"/>
    </w:rPr>
  </w:style>
  <w:style w:type="character" w:styleId="FollowedHyperlink">
    <w:name w:val="FollowedHyperlink"/>
    <w:basedOn w:val="DefaultParagraphFont"/>
    <w:uiPriority w:val="99"/>
    <w:semiHidden/>
    <w:unhideWhenUsed/>
    <w:rsid w:val="0046376D"/>
    <w:rPr>
      <w:color w:val="954F72" w:themeColor="followedHyperlink"/>
      <w:u w:val="single"/>
    </w:rPr>
  </w:style>
  <w:style w:type="paragraph" w:styleId="Revision">
    <w:name w:val="Revision"/>
    <w:hidden/>
    <w:uiPriority w:val="99"/>
    <w:semiHidden/>
    <w:rsid w:val="0012330F"/>
    <w:pPr>
      <w:spacing w:after="0" w:line="240" w:lineRule="auto"/>
    </w:pPr>
  </w:style>
  <w:style w:type="paragraph" w:styleId="FootnoteText">
    <w:name w:val="footnote text"/>
    <w:basedOn w:val="Normal"/>
    <w:link w:val="FootnoteTextChar"/>
    <w:uiPriority w:val="99"/>
    <w:semiHidden/>
    <w:unhideWhenUsed/>
    <w:rsid w:val="00BA4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726"/>
    <w:rPr>
      <w:sz w:val="20"/>
      <w:szCs w:val="20"/>
    </w:rPr>
  </w:style>
  <w:style w:type="character" w:styleId="FootnoteReference">
    <w:name w:val="footnote reference"/>
    <w:basedOn w:val="DefaultParagraphFont"/>
    <w:uiPriority w:val="99"/>
    <w:semiHidden/>
    <w:unhideWhenUsed/>
    <w:rsid w:val="00BA4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breathingspace@justic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athingspace@insolvencyserv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bt-respite-scheme-breathing-space-guidance/debt-respite-scheme-breathing-space-guidance-for-credito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8B26101BCA41B8CAA9C7D0CAB250" ma:contentTypeVersion="12" ma:contentTypeDescription="Create a new document." ma:contentTypeScope="" ma:versionID="94651495d830656a7f16a997020e783c">
  <xsd:schema xmlns:xsd="http://www.w3.org/2001/XMLSchema" xmlns:xs="http://www.w3.org/2001/XMLSchema" xmlns:p="http://schemas.microsoft.com/office/2006/metadata/properties" xmlns:ns3="07eca7b1-41cf-405d-ab9b-9852a2089dc6" xmlns:ns4="eba624c0-40c3-4cca-abda-92d66bdf49ec" targetNamespace="http://schemas.microsoft.com/office/2006/metadata/properties" ma:root="true" ma:fieldsID="d9c4254bed0382c3f0b420d24eb93c2d" ns3:_="" ns4:_="">
    <xsd:import namespace="07eca7b1-41cf-405d-ab9b-9852a2089dc6"/>
    <xsd:import namespace="eba624c0-40c3-4cca-abda-92d66bdf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ca7b1-41cf-405d-ab9b-9852a2089d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624c0-40c3-4cca-abda-92d66bdf49e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9161-EBBD-4BBA-A4CA-532BDE3099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E2E325-310B-4228-B4A7-FD6A1A177B0F}">
  <ds:schemaRefs>
    <ds:schemaRef ds:uri="http://schemas.microsoft.com/sharepoint/v3/contenttype/forms"/>
  </ds:schemaRefs>
</ds:datastoreItem>
</file>

<file path=customXml/itemProps3.xml><?xml version="1.0" encoding="utf-8"?>
<ds:datastoreItem xmlns:ds="http://schemas.openxmlformats.org/officeDocument/2006/customXml" ds:itemID="{C0332254-2482-4421-979A-DB04BDD6C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ca7b1-41cf-405d-ab9b-9852a2089dc6"/>
    <ds:schemaRef ds:uri="eba624c0-40c3-4cca-abda-92d66bdf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AD28F-A7A3-4CF3-838E-30F63333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Toyn, Samantha</dc:creator>
  <cp:keywords/>
  <dc:description/>
  <cp:lastModifiedBy>Toyn, Samantha</cp:lastModifiedBy>
  <cp:revision>2</cp:revision>
  <dcterms:created xsi:type="dcterms:W3CDTF">2021-04-15T16:17:00Z</dcterms:created>
  <dcterms:modified xsi:type="dcterms:W3CDTF">2021-04-15T16:17:00Z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0x010100B9ED8B26101BCA41B8CAA9C7D0CAB250</vt:lpwstr>
  </property>
</Properties>
</file>